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FD8C" w14:textId="04D3134B" w:rsidR="00637FB3" w:rsidRPr="0061603F" w:rsidRDefault="00637FB3" w:rsidP="00E56BE9">
      <w:pPr>
        <w:pStyle w:val="PlainText"/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Sabancı University</w:t>
      </w:r>
      <w:r w:rsidR="00E56BE9"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, </w:t>
      </w:r>
      <w:r w:rsidR="0061603F"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Fall</w:t>
      </w:r>
      <w:r w:rsidR="00DC2218"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20</w:t>
      </w:r>
      <w:r w:rsidR="005A3C60"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20</w:t>
      </w:r>
    </w:p>
    <w:p w14:paraId="1E49A9FF" w14:textId="77777777" w:rsidR="00637FB3" w:rsidRPr="0061603F" w:rsidRDefault="00637FB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0B0B4FB7" w14:textId="77777777" w:rsidR="00637FB3" w:rsidRPr="0061603F" w:rsidRDefault="00637FB3" w:rsidP="00637FB3">
      <w:pPr>
        <w:pStyle w:val="PlainText"/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Anth 214</w:t>
      </w:r>
    </w:p>
    <w:p w14:paraId="4BFDDC2C" w14:textId="599ACB7E" w:rsidR="00637FB3" w:rsidRPr="0061603F" w:rsidRDefault="00637FB3" w:rsidP="00637FB3">
      <w:pPr>
        <w:pStyle w:val="PlainText"/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Anthropology as Cultural Critique</w:t>
      </w:r>
    </w:p>
    <w:p w14:paraId="4550EE20" w14:textId="77777777" w:rsidR="0061603F" w:rsidRPr="0061603F" w:rsidRDefault="0061603F" w:rsidP="0061603F">
      <w:pPr>
        <w:pStyle w:val="PlainText"/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61603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Ayşecan Terzioğlu</w:t>
      </w:r>
    </w:p>
    <w:p w14:paraId="227D8B2C" w14:textId="77777777" w:rsidR="0061603F" w:rsidRPr="00E56BE9" w:rsidRDefault="0061603F" w:rsidP="0061603F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3ADC1D43" w14:textId="48FC99C9" w:rsidR="005A3C60" w:rsidRDefault="0061603F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Mondays, asynchronus lectures will </w:t>
      </w:r>
      <w:r w:rsidR="00DC2C66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be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uploaded</w:t>
      </w:r>
    </w:p>
    <w:p w14:paraId="0218295C" w14:textId="2EE7DEBF" w:rsidR="0061603F" w:rsidRDefault="0061603F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>Wednesdays 9.</w:t>
      </w:r>
      <w:r w:rsidR="00946D9C">
        <w:rPr>
          <w:rFonts w:asciiTheme="minorHAnsi" w:hAnsiTheme="minorHAnsi" w:cstheme="minorHAnsi"/>
          <w:noProof/>
          <w:sz w:val="24"/>
          <w:szCs w:val="24"/>
          <w:lang w:val="en-US"/>
        </w:rPr>
        <w:t>40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-10.</w:t>
      </w:r>
      <w:r w:rsidR="00946D9C">
        <w:rPr>
          <w:rFonts w:asciiTheme="minorHAnsi" w:hAnsiTheme="minorHAnsi" w:cstheme="minorHAnsi"/>
          <w:noProof/>
          <w:sz w:val="24"/>
          <w:szCs w:val="24"/>
          <w:lang w:val="en-US"/>
        </w:rPr>
        <w:t>30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we will meet synchronously for the discussions. </w:t>
      </w:r>
    </w:p>
    <w:p w14:paraId="447B7E6F" w14:textId="61990F62" w:rsidR="0013258F" w:rsidRDefault="0013258F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Office hours will be held through zoom, upon demand via e-mail. </w:t>
      </w:r>
    </w:p>
    <w:p w14:paraId="47F01AF0" w14:textId="61463816" w:rsidR="005809BC" w:rsidRDefault="005809BC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5DE28818" w14:textId="5860996A" w:rsidR="005809BC" w:rsidRDefault="005809BC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Zoom link: </w:t>
      </w:r>
      <w:hyperlink r:id="rId5" w:history="1">
        <w:r w:rsidRPr="00FA2A50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US"/>
          </w:rPr>
          <w:t>https://sabanciuniv.zoom.us/j/8245490563?pwd=K3M2Z1VvL2RGeHNqckxhWEJyU1IwQT09</w:t>
        </w:r>
      </w:hyperlink>
    </w:p>
    <w:p w14:paraId="628ADAD5" w14:textId="77777777" w:rsidR="005809BC" w:rsidRPr="00E56BE9" w:rsidRDefault="005809BC" w:rsidP="0061603F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bookmarkStart w:id="0" w:name="_GoBack"/>
      <w:bookmarkEnd w:id="0"/>
    </w:p>
    <w:p w14:paraId="7EEC534F" w14:textId="77777777" w:rsidR="00637FB3" w:rsidRPr="00E56BE9" w:rsidRDefault="00637FB3" w:rsidP="00637FB3">
      <w:pPr>
        <w:pStyle w:val="PlainText"/>
        <w:jc w:val="center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4B45052B" w14:textId="77777777" w:rsidR="00637FB3" w:rsidRPr="00E56BE9" w:rsidRDefault="005809BC" w:rsidP="00637FB3">
      <w:pPr>
        <w:pStyle w:val="PlainText"/>
        <w:jc w:val="center"/>
        <w:rPr>
          <w:rFonts w:asciiTheme="minorHAnsi" w:hAnsiTheme="minorHAnsi" w:cstheme="minorHAnsi"/>
          <w:noProof/>
          <w:sz w:val="24"/>
          <w:szCs w:val="24"/>
          <w:lang w:val="en-US"/>
        </w:rPr>
      </w:pPr>
      <w:hyperlink r:id="rId6" w:history="1">
        <w:r w:rsidR="00DC2218" w:rsidRPr="00E56BE9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US"/>
          </w:rPr>
          <w:t>aysecan@sabanciuniv.edu</w:t>
        </w:r>
      </w:hyperlink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</w:p>
    <w:p w14:paraId="31E42C0C" w14:textId="77777777" w:rsidR="00637FB3" w:rsidRPr="00E56BE9" w:rsidRDefault="00637FB3" w:rsidP="00637FB3">
      <w:pPr>
        <w:pStyle w:val="PlainText"/>
        <w:jc w:val="center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97A91A4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E320CC9" w14:textId="0E13675E" w:rsidR="00637FB3" w:rsidRPr="00E56BE9" w:rsidRDefault="00FC1276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>The</w:t>
      </w:r>
      <w:r w:rsidR="0013258F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COVID-19 pandemic</w:t>
      </w:r>
      <w:r w:rsidR="005C00AB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has</w:t>
      </w:r>
      <w:r w:rsidR="0013258F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became the most important global issue since the beginning of 2020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. M</w:t>
      </w:r>
      <w:r w:rsidR="0013258F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any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social scientists </w:t>
      </w:r>
      <w:r w:rsidR="0013258F">
        <w:rPr>
          <w:rFonts w:asciiTheme="minorHAnsi" w:hAnsiTheme="minorHAnsi" w:cstheme="minorHAnsi"/>
          <w:noProof/>
          <w:sz w:val="24"/>
          <w:szCs w:val="24"/>
          <w:lang w:val="en-US"/>
        </w:rPr>
        <w:t>emphasize that this pandemic increased the existing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  <w:r w:rsidR="0013258F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social 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and cultural </w:t>
      </w:r>
      <w:r w:rsidR="0013258F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inequalities and discriminations, as well as making them more visible. 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In this framework, ANTH 214 will point out the social and 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>cultural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factors related with the causes and consequences of the pandemic, as well as providing an extensive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introduction to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A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nthropology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. 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>The students will learn how theoretical perspectives and research methods have changed since the 19</w:t>
      </w:r>
      <w:r w:rsidR="00EE5608" w:rsidRPr="00EE5608">
        <w:rPr>
          <w:rFonts w:asciiTheme="minorHAnsi" w:hAnsiTheme="minorHAnsi" w:cstheme="minorHAnsi"/>
          <w:noProof/>
          <w:sz w:val="24"/>
          <w:szCs w:val="24"/>
          <w:vertAlign w:val="superscript"/>
          <w:lang w:val="en-US"/>
        </w:rPr>
        <w:t>th</w:t>
      </w:r>
      <w:r w:rsidR="00EE5608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century in Anthropology, and how the anthropologists study the current cultural and social issues, such as urbanization, environmental pollution and consumption. 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In this course,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we will cover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various anthropological theories</w:t>
      </w:r>
      <w:r w:rsidR="00DC2218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subfields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and methods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based on qualitative and quantitative research from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different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geographical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parts of the world, including Turkey. </w:t>
      </w:r>
    </w:p>
    <w:p w14:paraId="31212415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5F7201C9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Requirements </w:t>
      </w:r>
    </w:p>
    <w:p w14:paraId="1B252EA9" w14:textId="77777777" w:rsidR="00D1706A" w:rsidRDefault="00D1706A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3463CFE6" w14:textId="415C831A" w:rsidR="00637FB3" w:rsidRPr="00E56BE9" w:rsidRDefault="00D1706A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Although the 2/3 of the class will be recorded and uploaded lectures, the participation in the remaining 1/3 is crucial both for your understanding of the class material and your grade.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It is important that all of us contribute to the creation of a class atmosphere that is supportive and inspiring for all participants. This requires </w:t>
      </w:r>
      <w:r w:rsidR="00DC2218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regular contribution, 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mutual respect and openness for debate and criticism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in the discussion hours on Wednesdays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. The most important requirement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s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are doing the readings, watching the lectures, and, although it is an early hour, participate in the Wednesday’s synchronus class, where we will be able to have a discussion</w:t>
      </w:r>
      <w:r w:rsidR="00637FB3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. 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You will be responsible from all the readings in the class and in the exams. </w:t>
      </w:r>
    </w:p>
    <w:p w14:paraId="742B6D17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220CE71" w14:textId="127332C6" w:rsidR="00637FB3" w:rsidRPr="00E56BE9" w:rsidRDefault="00637FB3" w:rsidP="005A3C60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Attendance and </w:t>
      </w:r>
      <w:r w:rsidR="005A3C60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Active 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Participation</w:t>
      </w:r>
      <w:r w:rsidR="00D1706A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 on Wednesdays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 (1</w:t>
      </w:r>
      <w:r w:rsidR="005A3C60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0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%</w:t>
      </w:r>
      <w:r w:rsidR="00D80304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)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Attendance 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and active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participation in class discussions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will help you to understand the class content better, and thus will have a positive influence on your class performance and grade. Taking notes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during the class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is 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also </w:t>
      </w:r>
      <w:r w:rsidR="005A3C60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crucial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!</w:t>
      </w:r>
    </w:p>
    <w:p w14:paraId="2238A18A" w14:textId="77777777" w:rsidR="005A3C60" w:rsidRPr="00E56BE9" w:rsidRDefault="005A3C60" w:rsidP="005A3C60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5057D69C" w14:textId="5D014329" w:rsidR="005A3C60" w:rsidRPr="00E56BE9" w:rsidRDefault="005A3C60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Pop quiz (2X10= 20)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There will be two pop quizzes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on two of the Wednesdays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which will be unannounced.  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 students who will miss any of the quiz, without a medical record, will get 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lastRenderedPageBreak/>
        <w:t xml:space="preserve">a 0 out of the missed quiz. 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 quiz question will be asked at the </w:t>
      </w:r>
      <w:r w:rsidR="00AE6AA2">
        <w:rPr>
          <w:rFonts w:asciiTheme="minorHAnsi" w:hAnsiTheme="minorHAnsi" w:cstheme="minorHAnsi"/>
          <w:noProof/>
          <w:sz w:val="24"/>
          <w:szCs w:val="24"/>
          <w:lang w:val="en-US"/>
        </w:rPr>
        <w:t>on a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Wednesday session, and you will have 30 minutes to write the answer and mail it to me. The question will be based on that weeks’ issues and discussions.</w:t>
      </w:r>
    </w:p>
    <w:p w14:paraId="6268EC81" w14:textId="77777777" w:rsidR="004E5ADD" w:rsidRPr="00E56BE9" w:rsidRDefault="004E5ADD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9889FB6" w14:textId="0C231DEB" w:rsidR="00637FB3" w:rsidRPr="00E56BE9" w:rsidRDefault="00637FB3" w:rsidP="00637FB3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Midterm Exam (30%)</w:t>
      </w:r>
      <w:r w:rsidR="004E5ADD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 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The Midterm will have open-ended essay questions and short definitions</w:t>
      </w:r>
      <w:r w:rsidR="00D1706A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which will be in 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 take-home format. You will have </w:t>
      </w:r>
      <w:r w:rsidR="001D7683">
        <w:rPr>
          <w:rFonts w:asciiTheme="minorHAnsi" w:hAnsiTheme="minorHAnsi" w:cstheme="minorHAnsi"/>
          <w:noProof/>
          <w:sz w:val="24"/>
          <w:szCs w:val="24"/>
          <w:lang w:val="en-US"/>
        </w:rPr>
        <w:t>3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hours to complete your midterm and send it to me via e-mail. </w:t>
      </w:r>
    </w:p>
    <w:p w14:paraId="5963CB94" w14:textId="77777777" w:rsidR="00DC2218" w:rsidRPr="00E56BE9" w:rsidRDefault="00DC2218" w:rsidP="00DC221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6DD202F" w14:textId="32BE95CD" w:rsidR="00DD024D" w:rsidRPr="00E56BE9" w:rsidRDefault="00DC2218" w:rsidP="00DD024D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Final Exam (40</w:t>
      </w:r>
      <w:r w:rsidR="00637FB3"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>%)</w:t>
      </w:r>
      <w:r w:rsidRPr="00E56BE9"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  <w:t xml:space="preserve">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The final will cover 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all the topics and readings we covered throughout the semester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</w:t>
      </w:r>
      <w:r w:rsidR="004E5ADD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and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it will be slightly more difficult than the midterm. 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You will have </w:t>
      </w:r>
      <w:r w:rsidR="001D7683">
        <w:rPr>
          <w:rFonts w:asciiTheme="minorHAnsi" w:hAnsiTheme="minorHAnsi" w:cstheme="minorHAnsi"/>
          <w:noProof/>
          <w:sz w:val="24"/>
          <w:szCs w:val="24"/>
          <w:lang w:val="en-US"/>
        </w:rPr>
        <w:t>4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hours to complete your midterm and send it to me via e-mail. </w:t>
      </w:r>
    </w:p>
    <w:p w14:paraId="6485CB06" w14:textId="68932BAC" w:rsidR="00637FB3" w:rsidRPr="00E56BE9" w:rsidRDefault="00637FB3" w:rsidP="00637FB3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</w:p>
    <w:p w14:paraId="184BFBB1" w14:textId="5ADB1F1E" w:rsidR="00DC2218" w:rsidRDefault="00DD024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In case I have doubts that you did not answer one of your quizzes and exams, I will demand an online interview with you, where I will test your knowledge on what you wrote</w:t>
      </w:r>
      <w:r w:rsidR="00AE6AA2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. I will also deduct points on the answers, which are too similar to each other. Therefore,</w: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please be honest to yourself, to me and your class-mates. </w:t>
      </w:r>
    </w:p>
    <w:p w14:paraId="251DE604" w14:textId="070DFED3" w:rsidR="00DD024D" w:rsidRDefault="00DD024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3EF59030" w14:textId="77777777" w:rsidR="00DD024D" w:rsidRPr="00E56BE9" w:rsidRDefault="00DD024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2B7CAB56" w14:textId="4EF1EFB1" w:rsidR="00D80304" w:rsidRPr="00E56BE9" w:rsidRDefault="00DD024D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October 5-7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Introduction</w:t>
      </w:r>
    </w:p>
    <w:p w14:paraId="05D3E58B" w14:textId="11F132F8" w:rsidR="004E5ADD" w:rsidRPr="00E56BE9" w:rsidRDefault="004E5AD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What is anthropology? How does it study culture?</w:t>
      </w:r>
      <w:r w:rsidR="00D80304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A brief introduction of the class and syllabus. </w:t>
      </w:r>
    </w:p>
    <w:p w14:paraId="14F04307" w14:textId="77777777" w:rsidR="00E56BE9" w:rsidRPr="00E56BE9" w:rsidRDefault="00E56BE9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71407191" w14:textId="3B9573FC" w:rsidR="00637FB3" w:rsidRPr="00E56BE9" w:rsidRDefault="00DD024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October</w:t>
      </w:r>
      <w:r w:rsidR="004E5ADD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12</w:t>
      </w:r>
      <w:r w:rsidR="00D80304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-</w: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14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D80304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The Foundation of Anthropology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4841BDD7" w14:textId="0A7BC1A7" w:rsidR="004E5ADD" w:rsidRPr="00E56BE9" w:rsidRDefault="004E5ADD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Malinowski, Bronislaw (1961) [1922]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Argonauts of the Western Pacific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Waveland Press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>, Preface, Foreword and Introduction.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</w:p>
    <w:p w14:paraId="5051BF8F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6B2EC2C3" w14:textId="7A37BD09" w:rsidR="00637FB3" w:rsidRPr="00E56BE9" w:rsidRDefault="00DD024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October 19</w:t>
      </w:r>
      <w:r w:rsidR="00D80304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- </w: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21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 w:rsidR="00D80304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Classic Ethnographies</w:t>
      </w:r>
    </w:p>
    <w:p w14:paraId="3488F849" w14:textId="691752C1" w:rsidR="00D80304" w:rsidRPr="00E56BE9" w:rsidRDefault="00D80304" w:rsidP="00D80304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Evans-Pritchard, E.E. (1969) [1940]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The Nuer: A Description of the Modes of Livelihood and Political Institutions of a Nilotic People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. Oxford University Press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>, Introduct</w:t>
      </w:r>
      <w:r w:rsidR="005E4534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ory &amp; Chapter1. 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</w:t>
      </w:r>
    </w:p>
    <w:p w14:paraId="7CC86E6A" w14:textId="77777777" w:rsidR="00D80304" w:rsidRPr="005E4534" w:rsidRDefault="00D80304" w:rsidP="00D80304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1B9B947C" w14:textId="17A7FEE1" w:rsidR="005E4534" w:rsidRPr="005E4534" w:rsidRDefault="005E4534" w:rsidP="00D80304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5E4534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October 26-28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Pr="005E4534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Classic Ethnographies Revisited</w:t>
      </w:r>
    </w:p>
    <w:p w14:paraId="5DCE7E17" w14:textId="7CA330FF" w:rsidR="00D80304" w:rsidRPr="00E56BE9" w:rsidRDefault="00D80304" w:rsidP="00D80304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Shostak, Marjorie (2001) [1981]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Nisa: The Life and Words of a !Kung Woman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. Cambridge: Harvard University Press</w:t>
      </w:r>
      <w:r w:rsidR="00DD024D">
        <w:rPr>
          <w:rFonts w:asciiTheme="minorHAnsi" w:hAnsiTheme="minorHAnsi" w:cstheme="minorHAnsi"/>
          <w:noProof/>
          <w:sz w:val="24"/>
          <w:szCs w:val="24"/>
          <w:lang w:val="en-US"/>
        </w:rPr>
        <w:t>, Introduction</w:t>
      </w:r>
      <w:r w:rsidR="005E4534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&amp;Chapter 1</w:t>
      </w:r>
    </w:p>
    <w:p w14:paraId="6D15B810" w14:textId="77777777" w:rsidR="00B2558D" w:rsidRPr="00E56BE9" w:rsidRDefault="00B2558D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69782AB1" w14:textId="1FA51197" w:rsidR="007644BE" w:rsidRPr="00E56BE9" w:rsidRDefault="005E4534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November 2-4</w:t>
      </w:r>
      <w:r w:rsidR="001D7683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="007C095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 w:rsidR="007644B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Critical Perspectives in Ethnography</w:t>
      </w:r>
    </w:p>
    <w:p w14:paraId="367D3FC9" w14:textId="3FBDF340" w:rsidR="00B2558D" w:rsidRPr="00E56BE9" w:rsidRDefault="00B2558D" w:rsidP="00B2558D">
      <w:pPr>
        <w:rPr>
          <w:rFonts w:asciiTheme="minorHAnsi" w:hAnsiTheme="minorHAnsi" w:cstheme="minorHAnsi"/>
          <w:lang w:val="en-US"/>
        </w:rPr>
      </w:pPr>
      <w:r w:rsidRPr="00E56BE9">
        <w:rPr>
          <w:rFonts w:asciiTheme="minorHAnsi" w:hAnsiTheme="minorHAnsi" w:cstheme="minorHAnsi"/>
          <w:noProof/>
          <w:lang w:val="en-US"/>
        </w:rPr>
        <w:t>Marcus, George (1986)</w:t>
      </w:r>
      <w:r w:rsidRPr="00E56BE9">
        <w:rPr>
          <w:rFonts w:asciiTheme="minorHAnsi" w:hAnsiTheme="minorHAnsi" w:cstheme="minorHAnsi"/>
          <w:lang w:val="en-US"/>
        </w:rPr>
        <w:t xml:space="preserve"> “Contemporary Problems of Ethnography in the Modern World </w:t>
      </w:r>
      <w:r w:rsidR="00E56BE9" w:rsidRPr="00E56BE9">
        <w:rPr>
          <w:rFonts w:asciiTheme="minorHAnsi" w:hAnsiTheme="minorHAnsi" w:cstheme="minorHAnsi"/>
          <w:lang w:val="en-US"/>
        </w:rPr>
        <w:t>System” in</w:t>
      </w:r>
      <w:r w:rsidRPr="00E56BE9">
        <w:rPr>
          <w:rFonts w:asciiTheme="minorHAnsi" w:hAnsiTheme="minorHAnsi" w:cstheme="minorHAnsi"/>
          <w:lang w:val="en-US"/>
        </w:rPr>
        <w:t xml:space="preserve"> </w:t>
      </w:r>
      <w:r w:rsidRPr="00E56BE9">
        <w:rPr>
          <w:rFonts w:asciiTheme="minorHAnsi" w:hAnsiTheme="minorHAnsi" w:cstheme="minorHAnsi"/>
          <w:i/>
          <w:lang w:val="en-US"/>
        </w:rPr>
        <w:t>Writing Culture: The Poetics and Politics of Ethnography</w:t>
      </w:r>
      <w:r w:rsidRPr="00E56BE9">
        <w:rPr>
          <w:rFonts w:asciiTheme="minorHAnsi" w:hAnsiTheme="minorHAnsi" w:cstheme="minorHAnsi"/>
          <w:lang w:val="en-US"/>
        </w:rPr>
        <w:t>, University of California Press, pp.165-193</w:t>
      </w:r>
    </w:p>
    <w:p w14:paraId="58805A79" w14:textId="77777777" w:rsidR="00B2558D" w:rsidRPr="00E56BE9" w:rsidRDefault="00B2558D" w:rsidP="00B2558D">
      <w:pPr>
        <w:rPr>
          <w:rFonts w:asciiTheme="minorHAnsi" w:hAnsiTheme="minorHAnsi" w:cstheme="minorHAnsi"/>
          <w:lang w:val="en-US"/>
        </w:rPr>
      </w:pPr>
    </w:p>
    <w:p w14:paraId="30FB165F" w14:textId="4C3D8049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Abu-Lughod, Lila (1991) “Writing Against Culture” in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Recapturing Anthropology: Working in the Present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ed. Richard G. Fox, New Mexico: School of American Research Press, pp.137-162</w:t>
      </w:r>
    </w:p>
    <w:p w14:paraId="6555D432" w14:textId="77777777" w:rsidR="007644BE" w:rsidRPr="00E56BE9" w:rsidRDefault="007644BE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7F5A02AA" w14:textId="27B9A7BE" w:rsidR="00AE6AA2" w:rsidRDefault="001D7683" w:rsidP="00AE6AA2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November 9-11</w:t>
      </w:r>
      <w:r w:rsidR="007C095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:</w:t>
      </w:r>
      <w:r w:rsidR="00924980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Midterm week. </w:t>
      </w:r>
      <w:r w:rsidR="00AE6AA2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The Midterm questions will be posted via SuCourse announcements at 12.00 on Monday, and I will have the answers at 15.00 sharp. On Wednesday, I will review the answers and go over the common mistakes. </w:t>
      </w:r>
    </w:p>
    <w:p w14:paraId="1864EE94" w14:textId="77777777" w:rsidR="00AE6AA2" w:rsidRPr="00E56BE9" w:rsidRDefault="00AE6AA2" w:rsidP="00AE6AA2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6D7415DF" w14:textId="2FDD78ED" w:rsidR="00C971CD" w:rsidRPr="00342188" w:rsidRDefault="00AE6AA2" w:rsidP="00C971CD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November 16-18</w:t>
      </w:r>
      <w:r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C971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Race and Colonialism</w:t>
      </w:r>
      <w:r w:rsidR="00C971CD" w:rsidRPr="00C971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1977EC4C" w14:textId="77777777" w:rsidR="00C971CD" w:rsidRPr="00E56BE9" w:rsidRDefault="00C971CD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lastRenderedPageBreak/>
        <w:t xml:space="preserve">Mullings, Leith (2005) “Interrogating Racism: Toward and Antiracist Anthropology” </w:t>
      </w:r>
    </w:p>
    <w:p w14:paraId="24FA6982" w14:textId="46CCB837" w:rsidR="00C971CD" w:rsidRDefault="00C971CD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Annual Review of Anthropology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vol. 34: pp. 667-693. </w:t>
      </w:r>
    </w:p>
    <w:p w14:paraId="36C3EC73" w14:textId="77777777" w:rsidR="00342188" w:rsidRPr="00E56BE9" w:rsidRDefault="00342188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35AE6430" w14:textId="77777777" w:rsidR="00C971CD" w:rsidRPr="00E56BE9" w:rsidRDefault="00C971CD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Baker, Lee D. (2007) “Columbia University’s Franz Boas: He Led the Undoing of Scientific Racism”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The Journal of Blacks in Higher Education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no.55, pp: 77-84. </w:t>
      </w:r>
    </w:p>
    <w:p w14:paraId="208A9B13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06BF9A7" w14:textId="0A80A047" w:rsidR="00637FB3" w:rsidRPr="00E56BE9" w:rsidRDefault="00AE6AA2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November</w:t>
      </w:r>
      <w:r w:rsidR="00924980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23-25</w:t>
      </w:r>
      <w:r w:rsidR="00C971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, </w:t>
      </w:r>
      <w:r w:rsidR="00C971CD" w:rsidRPr="00C971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November 30-December 2</w:t>
      </w:r>
      <w:r w:rsidR="00C971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7C095E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Migration and Culture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</w:p>
    <w:p w14:paraId="495535AA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64F884DC" w14:textId="6C40C605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Malkki, Liisa H. (1999) “National Geographic: The Rooting of Peoples and the Territorialization of National Identity among Scholars and Refugees” in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Culture, Power, Place: Explorations in Critical Anthropology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eds. Akhil Gupta and James Ferguson, Durham: Duke University Press, pp.52-74</w:t>
      </w:r>
    </w:p>
    <w:p w14:paraId="0BF9A7F4" w14:textId="03ACF21E" w:rsidR="00E552FA" w:rsidRPr="00E56BE9" w:rsidRDefault="00E552FA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CD11E66" w14:textId="2E20AD03" w:rsidR="00E552FA" w:rsidRPr="00E56BE9" w:rsidRDefault="00E552FA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Riano-Alcala, Pilar (2008) “Journeys and landscapes of Forced Migration: Memorializing Fear among Refugees and Internally Displaced Columbians”,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Social Anthropology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16 (1), pp.1-18</w:t>
      </w:r>
    </w:p>
    <w:p w14:paraId="2D0DE9E1" w14:textId="77777777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9D21D2E" w14:textId="53027D58" w:rsidR="00637FB3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Parla, Ayşe (2011) “Undocumented Migrants and the Double Binds of Rights Claims”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 xml:space="preserve">differences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22(1): </w:t>
      </w:r>
      <w:r w:rsidR="00A33317"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pp. 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64-89 </w:t>
      </w:r>
    </w:p>
    <w:p w14:paraId="218F8B16" w14:textId="1AD796F9" w:rsidR="00C971CD" w:rsidRDefault="00C971CD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10DEB358" w14:textId="77777777" w:rsidR="00C971CD" w:rsidRPr="00E56BE9" w:rsidRDefault="00C971CD" w:rsidP="00C971CD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Inhorn, Marcia C., (2018) “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America’s Arab Refugees: Vulnerability and Health on the Margins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”, Stanford University Press, pp: 1-42</w:t>
      </w:r>
    </w:p>
    <w:p w14:paraId="68FDB686" w14:textId="77777777" w:rsidR="00C971CD" w:rsidRPr="00E56BE9" w:rsidRDefault="00C971CD" w:rsidP="00637FB3">
      <w:pPr>
        <w:pStyle w:val="PlainText"/>
        <w:rPr>
          <w:rFonts w:asciiTheme="minorHAnsi" w:hAnsiTheme="minorHAnsi" w:cstheme="minorHAnsi"/>
          <w:b/>
          <w:i/>
          <w:noProof/>
          <w:sz w:val="24"/>
          <w:szCs w:val="24"/>
          <w:lang w:val="en-US"/>
        </w:rPr>
      </w:pPr>
    </w:p>
    <w:p w14:paraId="6492F940" w14:textId="77777777" w:rsidR="00342188" w:rsidRPr="00342188" w:rsidRDefault="006861EE" w:rsidP="00342188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34218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December 7-9</w:t>
      </w:r>
      <w:r w:rsidR="00A76ADB" w:rsidRPr="0034218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342188" w:rsidRPr="0034218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The City as an Ethnographic Site </w:t>
      </w:r>
    </w:p>
    <w:p w14:paraId="7570E9D5" w14:textId="77777777" w:rsidR="00342188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Mills, Amy (2006) “Boundaries of the Nation in the Space of the Urban: Landscape and Social Memory in Istanbul.”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Cultural Geographies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13, pp: 367-394. </w:t>
      </w:r>
    </w:p>
    <w:p w14:paraId="07C78B91" w14:textId="77777777" w:rsidR="00342188" w:rsidRPr="00E56BE9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D41DE78" w14:textId="77777777" w:rsidR="00342188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Bartu Candan, Ayfer and Biray Kolluoğlu (2008) “Emerging Spaces of Neoliberalism: A Gated Town and a Public Housing Project in Istanbul.” </w:t>
      </w:r>
      <w:r w:rsidRPr="00B2558D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New Perspectives on Turkey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39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, pp.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5-46. </w:t>
      </w:r>
    </w:p>
    <w:p w14:paraId="05444CCF" w14:textId="77777777" w:rsidR="00342188" w:rsidRPr="00E56BE9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2A11EEF5" w14:textId="374B6298" w:rsidR="00637FB3" w:rsidRPr="00342188" w:rsidRDefault="00342188" w:rsidP="00342188">
      <w:pPr>
        <w:rPr>
          <w:rFonts w:asciiTheme="minorHAnsi" w:hAnsiTheme="minorHAnsi" w:cstheme="minorHAnsi"/>
          <w:b/>
          <w:noProof/>
          <w:highlight w:val="yellow"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December 14-16</w:t>
      </w:r>
      <w:r w:rsidRPr="00E56BE9">
        <w:rPr>
          <w:rFonts w:asciiTheme="minorHAnsi" w:hAnsiTheme="minorHAnsi" w:cstheme="minorHAnsi"/>
          <w:b/>
          <w:noProof/>
          <w:lang w:val="en-US"/>
        </w:rPr>
        <w:t xml:space="preserve">: </w:t>
      </w:r>
      <w:r w:rsidR="00637FB3" w:rsidRPr="00E56BE9">
        <w:rPr>
          <w:rFonts w:asciiTheme="minorHAnsi" w:hAnsiTheme="minorHAnsi" w:cstheme="minorHAnsi"/>
          <w:b/>
          <w:noProof/>
          <w:lang w:val="en-US"/>
        </w:rPr>
        <w:t xml:space="preserve">Gender and Sexuality </w:t>
      </w:r>
    </w:p>
    <w:p w14:paraId="0D08E487" w14:textId="6FBCAF56" w:rsidR="00637FB3" w:rsidRPr="00E56BE9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Babb, Florence E. (2008) “Out in Nicaragua: Local and Transnational Desires after the Revolution”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Cultural Anthropology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, 18(3): 304-328. </w:t>
      </w:r>
    </w:p>
    <w:p w14:paraId="279266A2" w14:textId="77777777" w:rsidR="00A76ADB" w:rsidRPr="00E56BE9" w:rsidRDefault="00A76ADB" w:rsidP="00A76ADB">
      <w:pPr>
        <w:rPr>
          <w:rFonts w:asciiTheme="minorHAnsi" w:hAnsiTheme="minorHAnsi" w:cstheme="minorHAnsi"/>
          <w:b/>
          <w:lang w:val="en-US"/>
        </w:rPr>
      </w:pPr>
    </w:p>
    <w:p w14:paraId="36781990" w14:textId="518DEADD" w:rsidR="00A76ADB" w:rsidRPr="00E56BE9" w:rsidRDefault="00A76ADB" w:rsidP="00A76ADB">
      <w:pPr>
        <w:rPr>
          <w:rFonts w:asciiTheme="minorHAnsi" w:hAnsiTheme="minorHAnsi" w:cstheme="minorHAnsi"/>
          <w:bCs/>
          <w:lang w:val="en-US"/>
        </w:rPr>
      </w:pPr>
      <w:r w:rsidRPr="00E56BE9">
        <w:rPr>
          <w:rFonts w:asciiTheme="minorHAnsi" w:hAnsiTheme="minorHAnsi" w:cstheme="minorHAnsi"/>
          <w:bCs/>
          <w:lang w:val="en-US"/>
        </w:rPr>
        <w:t xml:space="preserve">Özyeğin, Gül, 2015. “Vulnerable Masculinity and Self-Transformation: Ali’s Story”, in </w:t>
      </w:r>
      <w:r w:rsidRPr="00E56BE9">
        <w:rPr>
          <w:rFonts w:asciiTheme="minorHAnsi" w:hAnsiTheme="minorHAnsi" w:cstheme="minorHAnsi"/>
          <w:bCs/>
          <w:i/>
          <w:lang w:val="en-US"/>
        </w:rPr>
        <w:t>New Desires, New Selves: Sex, Love and Piety Among Turkish Youth</w:t>
      </w:r>
      <w:r w:rsidRPr="00E56BE9">
        <w:rPr>
          <w:rFonts w:asciiTheme="minorHAnsi" w:hAnsiTheme="minorHAnsi" w:cstheme="minorHAnsi"/>
          <w:bCs/>
          <w:lang w:val="en-US"/>
        </w:rPr>
        <w:t>, New York UP.</w:t>
      </w:r>
    </w:p>
    <w:p w14:paraId="2933D960" w14:textId="78BD2270" w:rsidR="00637FB3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0ADF0A77" w14:textId="696CD3D2" w:rsidR="009A278C" w:rsidRDefault="009A278C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>Biscop, Kilian</w:t>
      </w:r>
      <w:r w:rsidR="00331114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&amp;  Steven Malliet &amp; Alexander Dhoest, (2019) “Subversive Ludic Performance: An Analysis of Gender and Sexuality Performance in Digital Games” </w:t>
      </w:r>
      <w:r w:rsidR="00331114" w:rsidRPr="00331114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Journal of Diversity and Gender Studies</w:t>
      </w:r>
      <w:r w:rsidR="00331114">
        <w:rPr>
          <w:rFonts w:asciiTheme="minorHAnsi" w:hAnsiTheme="minorHAnsi" w:cstheme="minorHAnsi"/>
          <w:noProof/>
          <w:sz w:val="24"/>
          <w:szCs w:val="24"/>
          <w:lang w:val="en-US"/>
        </w:rPr>
        <w:t>, 6 (2): 23-42</w:t>
      </w:r>
    </w:p>
    <w:p w14:paraId="0DA16FA2" w14:textId="77777777" w:rsidR="00342188" w:rsidRDefault="00342188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72317EA3" w14:textId="6CFC96B4" w:rsidR="00637FB3" w:rsidRPr="00342188" w:rsidRDefault="00342188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December 21-23</w:t>
      </w:r>
      <w:r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637FB3"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The Body, Science and Medicine </w:t>
      </w:r>
    </w:p>
    <w:p w14:paraId="56F440A6" w14:textId="7C3DA5E2" w:rsidR="009A278C" w:rsidRDefault="009A278C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t>Terzioğlu Ayşecan</w:t>
      </w:r>
      <w:r w:rsidR="00331114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(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2018), “The Banality of Evil and the Normalization of Discriminatory Discourses against Syrians in Turkey”, Anthropology of Contemporary Middle East and Central Euresia (ACME), 4 (2), pp: 34-47.</w:t>
      </w:r>
    </w:p>
    <w:p w14:paraId="72AA78B0" w14:textId="472F32D0" w:rsidR="006861EE" w:rsidRPr="009A278C" w:rsidRDefault="006861EE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38B4B8E4" w14:textId="77FB8DCC" w:rsidR="009A278C" w:rsidRPr="009A278C" w:rsidRDefault="009A278C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9A278C">
        <w:rPr>
          <w:rFonts w:asciiTheme="minorHAnsi" w:hAnsiTheme="minorHAnsi" w:cstheme="minorHAnsi"/>
          <w:noProof/>
          <w:sz w:val="24"/>
          <w:szCs w:val="24"/>
          <w:lang w:val="en-US"/>
        </w:rPr>
        <w:t>Kayaalp, Ebru &amp; İbrahim Burhan Işık</w:t>
      </w:r>
      <w:r w:rsidR="00331114">
        <w:rPr>
          <w:rFonts w:asciiTheme="minorHAnsi" w:hAnsiTheme="minorHAnsi" w:cstheme="minorHAnsi"/>
          <w:noProof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(August 30, 2020)</w:t>
      </w:r>
      <w:r w:rsidRPr="009A278C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“Covid-19 and Healthcare Infrastructure in Turkey”, </w:t>
      </w:r>
      <w:r w:rsidRPr="009A278C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Medical Anthropology Quarterly</w:t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w:t>.</w:t>
      </w:r>
    </w:p>
    <w:p w14:paraId="39CE7F3D" w14:textId="77777777" w:rsidR="009A278C" w:rsidRPr="009A278C" w:rsidRDefault="009A278C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5C4D6F62" w14:textId="77777777" w:rsidR="00342188" w:rsidRDefault="00342188" w:rsidP="00342188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7EE05078" w14:textId="77777777" w:rsidR="00342188" w:rsidRDefault="00342188" w:rsidP="00342188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6A01BD7C" w14:textId="21B6DA45" w:rsidR="00342188" w:rsidRPr="00E56BE9" w:rsidRDefault="00342188" w:rsidP="00342188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December 28-December 30: </w:t>
      </w:r>
      <w:r w:rsidRPr="00E56BE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Anthropology of Consumption</w:t>
      </w:r>
    </w:p>
    <w:p w14:paraId="5FCF1C61" w14:textId="77777777" w:rsidR="00342188" w:rsidRPr="00E56BE9" w:rsidRDefault="00342188" w:rsidP="00342188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Kaya, Dilek (2009), “The Cola Turka Contrversy: Consuming Cola as a Turkish Muslim”, </w:t>
      </w:r>
      <w:r w:rsidRPr="00E56BE9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Muslim Societies in the Age of Mass Consumption</w:t>
      </w:r>
      <w:r w:rsidRPr="00E56BE9">
        <w:rPr>
          <w:rFonts w:asciiTheme="minorHAnsi" w:hAnsiTheme="minorHAnsi" w:cstheme="minorHAnsi"/>
          <w:noProof/>
          <w:sz w:val="24"/>
          <w:szCs w:val="24"/>
          <w:lang w:val="en-US"/>
        </w:rPr>
        <w:t>, Johanna Pink (ed), Cambridge Scholars Publishing, pp. 105-124</w:t>
      </w:r>
    </w:p>
    <w:p w14:paraId="2780A961" w14:textId="77777777" w:rsidR="00342188" w:rsidRPr="00E56BE9" w:rsidRDefault="00342188" w:rsidP="00342188">
      <w:pPr>
        <w:rPr>
          <w:rFonts w:asciiTheme="minorHAnsi" w:hAnsiTheme="minorHAnsi" w:cstheme="minorHAnsi"/>
          <w:noProof/>
          <w:lang w:val="en-US"/>
        </w:rPr>
      </w:pPr>
    </w:p>
    <w:p w14:paraId="0DEEB68C" w14:textId="77777777" w:rsidR="00342188" w:rsidRPr="00E56BE9" w:rsidRDefault="00342188" w:rsidP="00342188">
      <w:pPr>
        <w:rPr>
          <w:rFonts w:asciiTheme="minorHAnsi" w:hAnsiTheme="minorHAnsi" w:cstheme="minorHAnsi"/>
          <w:noProof/>
          <w:lang w:val="en-US"/>
        </w:rPr>
      </w:pPr>
      <w:r w:rsidRPr="00E56BE9">
        <w:rPr>
          <w:rFonts w:asciiTheme="minorHAnsi" w:hAnsiTheme="minorHAnsi" w:cstheme="minorHAnsi"/>
          <w:noProof/>
          <w:lang w:val="en-US"/>
        </w:rPr>
        <w:t xml:space="preserve">Polese, Abel &amp; Oleksandra Seliverstova (2019) “Luxury Consumption as Identity Markers in Talinn: A Study of Russian and Estonian Everyday Identity Construction through Consumer Citizenship”, </w:t>
      </w:r>
      <w:r w:rsidRPr="00E56BE9">
        <w:rPr>
          <w:rFonts w:asciiTheme="minorHAnsi" w:hAnsiTheme="minorHAnsi" w:cstheme="minorHAnsi"/>
          <w:i/>
          <w:noProof/>
          <w:lang w:val="en-US"/>
        </w:rPr>
        <w:t>Journal of Consumer Culture</w:t>
      </w:r>
      <w:r w:rsidRPr="00E56BE9">
        <w:rPr>
          <w:rFonts w:asciiTheme="minorHAnsi" w:hAnsiTheme="minorHAnsi" w:cstheme="minorHAnsi"/>
          <w:noProof/>
          <w:lang w:val="en-US"/>
        </w:rPr>
        <w:t xml:space="preserve"> , pp. 1-22</w:t>
      </w:r>
    </w:p>
    <w:p w14:paraId="42985BAC" w14:textId="77777777" w:rsidR="00342188" w:rsidRDefault="00342188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</w:p>
    <w:p w14:paraId="00DFDE59" w14:textId="73440185" w:rsidR="00637FB3" w:rsidRPr="00A77409" w:rsidRDefault="006861EE" w:rsidP="00637FB3">
      <w:pPr>
        <w:pStyle w:val="PlainText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January 4-6</w:t>
      </w:r>
      <w:r w:rsidR="00363DC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: </w:t>
      </w:r>
      <w:r w:rsidR="00637FB3" w:rsidRPr="00B2558D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Anthropology in the Era of the Anthropocene </w:t>
      </w:r>
    </w:p>
    <w:p w14:paraId="2761B355" w14:textId="45D45E48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Moore, Amelia (2015) “Anthropocene Anthropology: Reconceptualizing Contemporary Global Change” </w:t>
      </w:r>
      <w:r w:rsidRPr="00B2558D">
        <w:rPr>
          <w:rFonts w:asciiTheme="minorHAnsi" w:hAnsiTheme="minorHAnsi" w:cstheme="minorHAnsi"/>
          <w:i/>
          <w:noProof/>
          <w:sz w:val="24"/>
          <w:szCs w:val="24"/>
          <w:lang w:val="en-US"/>
        </w:rPr>
        <w:t xml:space="preserve">Journal of the Royal Anthropological Institute 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>22</w:t>
      </w:r>
      <w:r w:rsidR="00363DCD">
        <w:rPr>
          <w:rFonts w:asciiTheme="minorHAnsi" w:hAnsiTheme="minorHAnsi" w:cstheme="minorHAnsi"/>
          <w:noProof/>
          <w:sz w:val="24"/>
          <w:szCs w:val="24"/>
          <w:lang w:val="en-US"/>
        </w:rPr>
        <w:t>, pp.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27-46. </w:t>
      </w:r>
    </w:p>
    <w:p w14:paraId="6A2983CB" w14:textId="77777777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55B1E5C3" w14:textId="77777777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Kirksey, Eben, Craig Schuetze and Stefan Helmreich (2014) “Introduction” in </w:t>
      </w:r>
      <w:r w:rsidRPr="00B2558D">
        <w:rPr>
          <w:rFonts w:asciiTheme="minorHAnsi" w:hAnsiTheme="minorHAnsi" w:cstheme="minorHAnsi"/>
          <w:i/>
          <w:noProof/>
          <w:sz w:val="24"/>
          <w:szCs w:val="24"/>
          <w:lang w:val="en-US"/>
        </w:rPr>
        <w:t xml:space="preserve">The. Multispecies Salon, 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ed. Eben Kirksey. Durham and London: Duke University Press, pp. 1-24. </w:t>
      </w:r>
    </w:p>
    <w:p w14:paraId="24C85849" w14:textId="77777777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34EFB852" w14:textId="7F31C81E" w:rsidR="00637FB3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>Tsing, Anna Lowenthau</w:t>
      </w:r>
      <w:r w:rsidR="00A77409">
        <w:rPr>
          <w:rFonts w:asciiTheme="minorHAnsi" w:hAnsiTheme="minorHAnsi" w:cstheme="minorHAnsi"/>
          <w:noProof/>
          <w:sz w:val="24"/>
          <w:szCs w:val="24"/>
          <w:lang w:val="en-US"/>
        </w:rPr>
        <w:t>p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(2014) “Blasted Landscapes (and the Gentle Arts of Mushroom Picking)” in </w:t>
      </w:r>
      <w:r w:rsidRPr="00B2558D">
        <w:rPr>
          <w:rFonts w:asciiTheme="minorHAnsi" w:hAnsiTheme="minorHAnsi" w:cstheme="minorHAnsi"/>
          <w:i/>
          <w:noProof/>
          <w:sz w:val="24"/>
          <w:szCs w:val="24"/>
          <w:lang w:val="en-US"/>
        </w:rPr>
        <w:t xml:space="preserve">The. Multispecies Salon, </w:t>
      </w:r>
      <w:r w:rsidRPr="00B2558D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ed. Eben Kirksey. Durham and London: Duke University Press, pp.87-109. </w:t>
      </w:r>
    </w:p>
    <w:p w14:paraId="6B7EE66C" w14:textId="77777777" w:rsidR="00637FB3" w:rsidRPr="00B2558D" w:rsidRDefault="00637FB3" w:rsidP="00637FB3">
      <w:pPr>
        <w:pStyle w:val="PlainText"/>
        <w:rPr>
          <w:rFonts w:asciiTheme="minorHAnsi" w:hAnsiTheme="minorHAnsi" w:cstheme="minorHAnsi"/>
          <w:noProof/>
          <w:sz w:val="24"/>
          <w:szCs w:val="24"/>
          <w:lang w:val="en-US"/>
        </w:rPr>
      </w:pPr>
    </w:p>
    <w:p w14:paraId="7E5AA5C2" w14:textId="77777777" w:rsidR="005E2E97" w:rsidRPr="00B2558D" w:rsidRDefault="005E2E97">
      <w:pPr>
        <w:rPr>
          <w:rFonts w:asciiTheme="minorHAnsi" w:hAnsiTheme="minorHAnsi" w:cstheme="minorHAnsi"/>
        </w:rPr>
      </w:pPr>
    </w:p>
    <w:sectPr w:rsidR="005E2E97" w:rsidRPr="00B2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0F60"/>
    <w:multiLevelType w:val="hybridMultilevel"/>
    <w:tmpl w:val="76EA5070"/>
    <w:lvl w:ilvl="0" w:tplc="FD22CB50">
      <w:start w:val="216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B3"/>
    <w:rsid w:val="00073239"/>
    <w:rsid w:val="000A79BE"/>
    <w:rsid w:val="0013258F"/>
    <w:rsid w:val="001D7683"/>
    <w:rsid w:val="00331114"/>
    <w:rsid w:val="00342188"/>
    <w:rsid w:val="00363DCD"/>
    <w:rsid w:val="004E5ADD"/>
    <w:rsid w:val="005809BC"/>
    <w:rsid w:val="005A3C60"/>
    <w:rsid w:val="005C00AB"/>
    <w:rsid w:val="005E2E97"/>
    <w:rsid w:val="005E4534"/>
    <w:rsid w:val="0061603F"/>
    <w:rsid w:val="00637FB3"/>
    <w:rsid w:val="006861EE"/>
    <w:rsid w:val="007644BE"/>
    <w:rsid w:val="007C095E"/>
    <w:rsid w:val="00924980"/>
    <w:rsid w:val="00946D9C"/>
    <w:rsid w:val="00952E64"/>
    <w:rsid w:val="009A278C"/>
    <w:rsid w:val="00A33317"/>
    <w:rsid w:val="00A57246"/>
    <w:rsid w:val="00A76ADB"/>
    <w:rsid w:val="00A77409"/>
    <w:rsid w:val="00AE6AA2"/>
    <w:rsid w:val="00B2558D"/>
    <w:rsid w:val="00C04F83"/>
    <w:rsid w:val="00C971CD"/>
    <w:rsid w:val="00D1706A"/>
    <w:rsid w:val="00D80304"/>
    <w:rsid w:val="00DC2218"/>
    <w:rsid w:val="00DC2C66"/>
    <w:rsid w:val="00DD024D"/>
    <w:rsid w:val="00E552FA"/>
    <w:rsid w:val="00E56BE9"/>
    <w:rsid w:val="00EE5608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97244E"/>
  <w15:chartTrackingRefBased/>
  <w15:docId w15:val="{042E7991-7840-489D-B70F-0F98033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FB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FB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FB3"/>
    <w:rPr>
      <w:rFonts w:ascii="Consolas" w:hAnsi="Consolas"/>
      <w:sz w:val="21"/>
      <w:szCs w:val="21"/>
    </w:rPr>
  </w:style>
  <w:style w:type="character" w:customStyle="1" w:styleId="a">
    <w:name w:val="a"/>
    <w:basedOn w:val="DefaultParagraphFont"/>
    <w:rsid w:val="00A77409"/>
  </w:style>
  <w:style w:type="character" w:styleId="UnresolvedMention">
    <w:name w:val="Unresolved Mention"/>
    <w:basedOn w:val="DefaultParagraphFont"/>
    <w:uiPriority w:val="99"/>
    <w:semiHidden/>
    <w:unhideWhenUsed/>
    <w:rsid w:val="0058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secan@sabanciuniv.edu" TargetMode="External"/><Relationship Id="rId5" Type="http://schemas.openxmlformats.org/officeDocument/2006/relationships/hyperlink" Target="https://sabanciuniv.zoom.us/j/8245490563?pwd=K3M2Z1VvL2RGeHNqckxhWEJyU1I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aysecan</dc:creator>
  <cp:keywords/>
  <dc:description/>
  <cp:lastModifiedBy>Ayşecan Terzioğlu</cp:lastModifiedBy>
  <cp:revision>12</cp:revision>
  <dcterms:created xsi:type="dcterms:W3CDTF">2020-01-12T13:00:00Z</dcterms:created>
  <dcterms:modified xsi:type="dcterms:W3CDTF">2020-10-06T18:23:00Z</dcterms:modified>
</cp:coreProperties>
</file>